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22" w:rsidRPr="004A1225" w:rsidRDefault="000B5622" w:rsidP="000B5622">
      <w:pPr>
        <w:jc w:val="both"/>
        <w:rPr>
          <w:rFonts w:asciiTheme="majorHAnsi" w:hAnsiTheme="majorHAnsi"/>
          <w:i/>
          <w:sz w:val="28"/>
        </w:rPr>
      </w:pPr>
      <w:r w:rsidRPr="004A1225">
        <w:rPr>
          <w:rFonts w:asciiTheme="majorHAnsi" w:hAnsiTheme="majorHAnsi"/>
          <w:i/>
          <w:sz w:val="28"/>
        </w:rPr>
        <w:t>Da: Riti alternativi</w:t>
      </w:r>
    </w:p>
    <w:p w:rsidR="00EF7948" w:rsidRPr="004A1225" w:rsidRDefault="000B5622" w:rsidP="000B5622">
      <w:pPr>
        <w:jc w:val="both"/>
        <w:rPr>
          <w:rFonts w:asciiTheme="majorHAnsi" w:hAnsiTheme="majorHAnsi"/>
          <w:sz w:val="28"/>
        </w:rPr>
      </w:pPr>
      <w:r w:rsidRPr="004A1225">
        <w:rPr>
          <w:rFonts w:asciiTheme="majorHAnsi" w:hAnsiTheme="majorHAnsi"/>
          <w:sz w:val="28"/>
        </w:rPr>
        <w:t>Il nuovo codice di procedura penale (</w:t>
      </w:r>
      <w:r w:rsidRPr="004A1225">
        <w:rPr>
          <w:rFonts w:asciiTheme="majorHAnsi" w:hAnsiTheme="majorHAnsi"/>
          <w:b/>
          <w:sz w:val="28"/>
          <w:highlight w:val="yellow"/>
        </w:rPr>
        <w:t xml:space="preserve">d.p.r. </w:t>
      </w:r>
      <w:hyperlink r:id="rId4" w:tooltip="22 settembre" w:history="1">
        <w:r w:rsidRPr="004A1225">
          <w:rPr>
            <w:rFonts w:asciiTheme="majorHAnsi" w:hAnsiTheme="majorHAnsi"/>
            <w:b/>
            <w:sz w:val="28"/>
            <w:highlight w:val="yellow"/>
          </w:rPr>
          <w:t>22 settembre</w:t>
        </w:r>
      </w:hyperlink>
      <w:r w:rsidRPr="004A1225">
        <w:rPr>
          <w:rFonts w:asciiTheme="majorHAnsi" w:hAnsiTheme="majorHAnsi"/>
          <w:b/>
          <w:sz w:val="28"/>
          <w:highlight w:val="yellow"/>
        </w:rPr>
        <w:t xml:space="preserve"> </w:t>
      </w:r>
      <w:hyperlink r:id="rId5" w:tooltip="1988" w:history="1">
        <w:r w:rsidRPr="004A1225">
          <w:rPr>
            <w:rFonts w:asciiTheme="majorHAnsi" w:hAnsiTheme="majorHAnsi"/>
            <w:b/>
            <w:sz w:val="28"/>
            <w:highlight w:val="yellow"/>
          </w:rPr>
          <w:t>1988</w:t>
        </w:r>
      </w:hyperlink>
      <w:r w:rsidRPr="004A1225">
        <w:rPr>
          <w:rFonts w:asciiTheme="majorHAnsi" w:hAnsiTheme="majorHAnsi"/>
          <w:b/>
          <w:sz w:val="28"/>
          <w:highlight w:val="yellow"/>
        </w:rPr>
        <w:t>, n. 447</w:t>
      </w:r>
      <w:r w:rsidRPr="004A1225">
        <w:rPr>
          <w:rFonts w:asciiTheme="majorHAnsi" w:hAnsiTheme="majorHAnsi"/>
          <w:sz w:val="28"/>
        </w:rPr>
        <w:t>) ha portato un totale ed effettivo rinnovamento all'interno del vecchio codice.</w:t>
      </w:r>
    </w:p>
    <w:p w:rsidR="000B5622" w:rsidRPr="004A1225" w:rsidRDefault="000B5622" w:rsidP="000B5622">
      <w:pPr>
        <w:jc w:val="both"/>
        <w:rPr>
          <w:rFonts w:asciiTheme="majorHAnsi" w:hAnsiTheme="majorHAnsi"/>
          <w:sz w:val="28"/>
        </w:rPr>
      </w:pPr>
    </w:p>
    <w:p w:rsidR="000B5622" w:rsidRPr="004A1225" w:rsidRDefault="000B5622" w:rsidP="000B5622">
      <w:pPr>
        <w:jc w:val="both"/>
        <w:rPr>
          <w:rFonts w:asciiTheme="majorHAnsi" w:hAnsiTheme="majorHAnsi"/>
          <w:i/>
          <w:sz w:val="28"/>
        </w:rPr>
      </w:pPr>
      <w:r w:rsidRPr="004A1225">
        <w:rPr>
          <w:rFonts w:asciiTheme="majorHAnsi" w:hAnsiTheme="majorHAnsi"/>
          <w:i/>
          <w:sz w:val="28"/>
        </w:rPr>
        <w:t>Da: Glossario</w:t>
      </w:r>
    </w:p>
    <w:p w:rsidR="000B5622" w:rsidRPr="004A1225" w:rsidRDefault="000B5622" w:rsidP="000B5622">
      <w:pPr>
        <w:jc w:val="both"/>
        <w:rPr>
          <w:rFonts w:asciiTheme="majorHAnsi" w:hAnsiTheme="majorHAnsi"/>
          <w:sz w:val="28"/>
        </w:rPr>
      </w:pPr>
      <w:r w:rsidRPr="004A1225">
        <w:rPr>
          <w:rFonts w:asciiTheme="majorHAnsi" w:hAnsiTheme="majorHAnsi"/>
          <w:sz w:val="28"/>
        </w:rPr>
        <w:t>Nell’ottica del Nuovo Codice di Procedura Penale, se dominus della fase delle indagini preliminari è senza ombra di dubbio il Pubblico Ministero (diretto interessato del principio dell’obbligatorietà dell’azione penale), tuttavia e sulla scorta del nuovo sistema accusatorio e sempre più garantista – soprattutto alla luce delle modifiche introdotte dalla c.d. “legge Carotti” – il legislatore ha ritenuto di individuare una nuova figura di Giudice che, privato di quei poteri istruttori che appartenevano al suo predecessore (il Giudice Istruttore), è stato investito di un compito di “sorveglianza” e necessaria verifica dell’operato dei soggetti attori della fase investigativa.</w:t>
      </w:r>
    </w:p>
    <w:p w:rsidR="000B5622" w:rsidRPr="004A1225" w:rsidRDefault="000B5622" w:rsidP="000B5622">
      <w:pPr>
        <w:jc w:val="both"/>
        <w:rPr>
          <w:rFonts w:asciiTheme="majorHAnsi" w:hAnsiTheme="majorHAnsi"/>
          <w:sz w:val="28"/>
        </w:rPr>
      </w:pPr>
      <w:r w:rsidRPr="004A1225">
        <w:rPr>
          <w:rFonts w:asciiTheme="majorHAnsi" w:hAnsiTheme="majorHAnsi"/>
          <w:sz w:val="28"/>
        </w:rPr>
        <w:t xml:space="preserve">Si consideri, poi, da ultimo, che al fine di garantire ulteriormente la terzietà del Giudice e in linea con il principio del suo libero convincimento, </w:t>
      </w:r>
      <w:r w:rsidRPr="004A1225">
        <w:rPr>
          <w:rFonts w:asciiTheme="majorHAnsi" w:hAnsiTheme="majorHAnsi"/>
          <w:b/>
          <w:sz w:val="28"/>
          <w:highlight w:val="yellow"/>
        </w:rPr>
        <w:t>la L. 479/99 (Legge Carotti)</w:t>
      </w:r>
      <w:r w:rsidRPr="004A1225">
        <w:rPr>
          <w:rFonts w:asciiTheme="majorHAnsi" w:hAnsiTheme="majorHAnsi"/>
          <w:b/>
          <w:sz w:val="28"/>
        </w:rPr>
        <w:t xml:space="preserve"> </w:t>
      </w:r>
      <w:r w:rsidRPr="004A1225">
        <w:rPr>
          <w:rFonts w:asciiTheme="majorHAnsi" w:hAnsiTheme="majorHAnsi"/>
          <w:sz w:val="28"/>
        </w:rPr>
        <w:t xml:space="preserve">ha stabilito che il Giudice che ha svolto funzioni di GIP non può svolgere quelle successive ed eventuali di GUP (ipotesi di incompatibilità).  </w:t>
      </w:r>
    </w:p>
    <w:p w:rsidR="000B5622" w:rsidRPr="004A1225" w:rsidRDefault="000B5622">
      <w:pPr>
        <w:rPr>
          <w:rFonts w:asciiTheme="majorHAnsi" w:hAnsiTheme="majorHAnsi"/>
          <w:sz w:val="28"/>
        </w:rPr>
      </w:pPr>
    </w:p>
    <w:p w:rsidR="004A1225" w:rsidRPr="004A1225" w:rsidRDefault="004A1225">
      <w:pPr>
        <w:rPr>
          <w:rFonts w:asciiTheme="majorHAnsi" w:hAnsiTheme="majorHAnsi"/>
          <w:sz w:val="28"/>
        </w:rPr>
      </w:pPr>
    </w:p>
    <w:p w:rsidR="004A1225" w:rsidRPr="004A1225" w:rsidRDefault="004A1225">
      <w:pPr>
        <w:rPr>
          <w:rFonts w:asciiTheme="majorHAnsi" w:hAnsiTheme="majorHAnsi"/>
          <w:sz w:val="28"/>
        </w:rPr>
      </w:pPr>
      <w:r w:rsidRPr="004A1225">
        <w:rPr>
          <w:rFonts w:asciiTheme="majorHAnsi" w:hAnsiTheme="majorHAnsi"/>
          <w:sz w:val="28"/>
        </w:rPr>
        <w:t>In più:</w:t>
      </w:r>
    </w:p>
    <w:p w:rsidR="004A1225" w:rsidRPr="004A1225" w:rsidRDefault="004A1225" w:rsidP="004A1225">
      <w:pPr>
        <w:spacing w:after="24" w:line="240" w:lineRule="atLeast"/>
        <w:rPr>
          <w:rFonts w:asciiTheme="majorHAnsi" w:eastAsia="Times New Roman" w:hAnsiTheme="majorHAnsi" w:cs="Times New Roman"/>
          <w:b/>
          <w:bCs/>
          <w:color w:val="000000"/>
          <w:sz w:val="29"/>
          <w:szCs w:val="29"/>
          <w:lang w:eastAsia="it-IT"/>
        </w:rPr>
      </w:pPr>
      <w:r w:rsidRPr="004A1225">
        <w:rPr>
          <w:rFonts w:asciiTheme="majorHAnsi" w:eastAsia="Times New Roman" w:hAnsiTheme="majorHAnsi" w:cs="Times New Roman"/>
          <w:b/>
          <w:bCs/>
          <w:color w:val="000000"/>
          <w:sz w:val="29"/>
          <w:szCs w:val="29"/>
          <w:lang w:eastAsia="it-IT"/>
        </w:rPr>
        <w:t xml:space="preserve">DECRETO LEGISLATIVO 28 luglio 1989, n. 271 </w:t>
      </w:r>
    </w:p>
    <w:p w:rsidR="004A1225" w:rsidRPr="004A1225" w:rsidRDefault="004A1225" w:rsidP="004A1225">
      <w:pPr>
        <w:spacing w:after="0" w:line="240" w:lineRule="atLeast"/>
        <w:rPr>
          <w:rFonts w:asciiTheme="majorHAnsi" w:eastAsia="Times New Roman" w:hAnsiTheme="majorHAnsi" w:cs="Times New Roman"/>
          <w:color w:val="000000"/>
          <w:sz w:val="29"/>
          <w:szCs w:val="29"/>
          <w:lang w:eastAsia="it-IT"/>
        </w:rPr>
      </w:pPr>
      <w:r w:rsidRPr="004A1225">
        <w:rPr>
          <w:rFonts w:asciiTheme="majorHAnsi" w:eastAsia="Times New Roman" w:hAnsiTheme="majorHAnsi" w:cs="Times New Roman"/>
          <w:color w:val="000000"/>
          <w:sz w:val="29"/>
          <w:szCs w:val="29"/>
          <w:lang w:eastAsia="it-IT"/>
        </w:rPr>
        <w:t xml:space="preserve">Norme di attuazione, di coordinamento e transitorie del codice di procedura penale. </w:t>
      </w:r>
      <w:r w:rsidRPr="004A1225">
        <w:rPr>
          <w:rFonts w:asciiTheme="majorHAnsi" w:eastAsia="Times New Roman" w:hAnsiTheme="majorHAnsi" w:cs="Times New Roman"/>
          <w:i/>
          <w:iCs/>
          <w:color w:val="058940"/>
          <w:sz w:val="29"/>
          <w:szCs w:val="29"/>
          <w:lang w:eastAsia="it-IT"/>
        </w:rPr>
        <w:t xml:space="preserve">(GU n.182 del 5-8-1989 - </w:t>
      </w:r>
      <w:proofErr w:type="spellStart"/>
      <w:r w:rsidRPr="004A1225">
        <w:rPr>
          <w:rFonts w:asciiTheme="majorHAnsi" w:eastAsia="Times New Roman" w:hAnsiTheme="majorHAnsi" w:cs="Times New Roman"/>
          <w:i/>
          <w:iCs/>
          <w:color w:val="058940"/>
          <w:sz w:val="29"/>
          <w:szCs w:val="29"/>
          <w:lang w:eastAsia="it-IT"/>
        </w:rPr>
        <w:t>Suppl</w:t>
      </w:r>
      <w:proofErr w:type="spellEnd"/>
      <w:r w:rsidRPr="004A1225">
        <w:rPr>
          <w:rFonts w:asciiTheme="majorHAnsi" w:eastAsia="Times New Roman" w:hAnsiTheme="majorHAnsi" w:cs="Times New Roman"/>
          <w:i/>
          <w:iCs/>
          <w:color w:val="058940"/>
          <w:sz w:val="29"/>
          <w:szCs w:val="29"/>
          <w:lang w:eastAsia="it-IT"/>
        </w:rPr>
        <w:t xml:space="preserve">. Ordinario n. </w:t>
      </w:r>
      <w:proofErr w:type="gramStart"/>
      <w:r w:rsidRPr="004A1225">
        <w:rPr>
          <w:rFonts w:asciiTheme="majorHAnsi" w:eastAsia="Times New Roman" w:hAnsiTheme="majorHAnsi" w:cs="Times New Roman"/>
          <w:i/>
          <w:iCs/>
          <w:color w:val="058940"/>
          <w:sz w:val="29"/>
          <w:szCs w:val="29"/>
          <w:lang w:eastAsia="it-IT"/>
        </w:rPr>
        <w:t>57 )</w:t>
      </w:r>
      <w:proofErr w:type="gramEnd"/>
      <w:r w:rsidRPr="004A1225">
        <w:rPr>
          <w:rFonts w:asciiTheme="majorHAnsi" w:eastAsia="Times New Roman" w:hAnsiTheme="majorHAnsi" w:cs="Times New Roman"/>
          <w:i/>
          <w:iCs/>
          <w:color w:val="058940"/>
          <w:sz w:val="29"/>
          <w:szCs w:val="29"/>
          <w:lang w:eastAsia="it-IT"/>
        </w:rPr>
        <w:t xml:space="preserve"> </w:t>
      </w:r>
    </w:p>
    <w:p w:rsidR="004A1225" w:rsidRPr="004A1225" w:rsidRDefault="004A1225" w:rsidP="004A1225">
      <w:pPr>
        <w:spacing w:after="48" w:line="240" w:lineRule="atLeast"/>
        <w:rPr>
          <w:rFonts w:asciiTheme="majorHAnsi" w:eastAsia="Times New Roman" w:hAnsiTheme="majorHAnsi" w:cs="Times New Roman"/>
          <w:color w:val="000000"/>
          <w:sz w:val="29"/>
          <w:szCs w:val="29"/>
          <w:lang w:eastAsia="it-IT"/>
        </w:rPr>
      </w:pPr>
      <w:r w:rsidRPr="004A1225">
        <w:rPr>
          <w:rFonts w:asciiTheme="majorHAnsi" w:eastAsia="Times New Roman" w:hAnsiTheme="majorHAnsi" w:cs="Times New Roman"/>
          <w:color w:val="990000"/>
          <w:sz w:val="29"/>
          <w:szCs w:val="29"/>
          <w:lang w:eastAsia="it-IT"/>
        </w:rPr>
        <w:t xml:space="preserve">Entrata in vigore del decreto: 24-10-1989 </w:t>
      </w:r>
    </w:p>
    <w:p w:rsidR="004A1225" w:rsidRPr="004A1225" w:rsidRDefault="004A1225">
      <w:pPr>
        <w:rPr>
          <w:rFonts w:asciiTheme="majorHAnsi" w:hAnsiTheme="majorHAnsi"/>
          <w:sz w:val="28"/>
        </w:rPr>
      </w:pPr>
      <w:bookmarkStart w:id="0" w:name="_GoBack"/>
      <w:bookmarkEnd w:id="0"/>
    </w:p>
    <w:sectPr w:rsidR="004A1225" w:rsidRPr="004A1225" w:rsidSect="00EF79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2"/>
  </w:compat>
  <w:rsids>
    <w:rsidRoot w:val="000B5622"/>
    <w:rsid w:val="000B5622"/>
    <w:rsid w:val="004A1225"/>
    <w:rsid w:val="00E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02EF1-3CBF-4170-9FF4-060A91F8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79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assetto1">
    <w:name w:val="grassetto1"/>
    <w:basedOn w:val="Normale"/>
    <w:rsid w:val="004A1225"/>
    <w:pPr>
      <w:spacing w:after="24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rosso1">
    <w:name w:val="rosso1"/>
    <w:basedOn w:val="Carpredefinitoparagrafo"/>
    <w:rsid w:val="004A1225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basedOn w:val="Carpredefinitoparagrafo"/>
    <w:rsid w:val="004A1225"/>
    <w:rPr>
      <w:i/>
      <w:iCs/>
      <w:color w:val="0589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2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  <w:divsChild>
                    <w:div w:id="1264221257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t.wikipedia.org/wiki/1988" TargetMode="External"/><Relationship Id="rId4" Type="http://schemas.openxmlformats.org/officeDocument/2006/relationships/hyperlink" Target="http://it.wikipedia.org/wiki/22_settembr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Company>OIPA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3</cp:revision>
  <dcterms:created xsi:type="dcterms:W3CDTF">2010-11-05T18:54:00Z</dcterms:created>
  <dcterms:modified xsi:type="dcterms:W3CDTF">2013-11-13T08:55:00Z</dcterms:modified>
</cp:coreProperties>
</file>